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D975" w14:textId="463A2C8B" w:rsidR="00D61347" w:rsidRDefault="00D61347" w:rsidP="00A54AF7">
      <w:pPr>
        <w:rPr>
          <w:b/>
          <w:color w:val="000000"/>
          <w:sz w:val="32"/>
        </w:rPr>
      </w:pPr>
      <w:r w:rsidRPr="00454FF1">
        <w:rPr>
          <w:b/>
          <w:color w:val="000000"/>
          <w:sz w:val="32"/>
        </w:rPr>
        <w:t xml:space="preserve">UQ </w:t>
      </w:r>
      <w:r w:rsidR="00C736FA">
        <w:rPr>
          <w:b/>
          <w:color w:val="000000"/>
          <w:sz w:val="32"/>
        </w:rPr>
        <w:t>Winter</w:t>
      </w:r>
      <w:r w:rsidRPr="00454FF1">
        <w:rPr>
          <w:b/>
          <w:color w:val="000000"/>
          <w:sz w:val="32"/>
        </w:rPr>
        <w:t xml:space="preserve"> Research Project Description</w:t>
      </w:r>
      <w:r w:rsidR="00941E04">
        <w:rPr>
          <w:b/>
          <w:color w:val="000000"/>
          <w:sz w:val="32"/>
        </w:rPr>
        <w:t xml:space="preserve"> </w:t>
      </w:r>
    </w:p>
    <w:p w14:paraId="0431E3A5" w14:textId="77777777" w:rsidR="00D61347" w:rsidRDefault="00D61347" w:rsidP="00A54AF7">
      <w:pPr>
        <w:rPr>
          <w:color w:val="000000"/>
        </w:rPr>
      </w:pPr>
    </w:p>
    <w:tbl>
      <w:tblPr>
        <w:tblStyle w:val="TableGrid"/>
        <w:tblW w:w="9639" w:type="dxa"/>
        <w:tblInd w:w="-5" w:type="dxa"/>
        <w:tblLook w:val="04A0" w:firstRow="1" w:lastRow="0" w:firstColumn="1" w:lastColumn="0" w:noHBand="0" w:noVBand="1"/>
      </w:tblPr>
      <w:tblGrid>
        <w:gridCol w:w="2098"/>
        <w:gridCol w:w="7541"/>
      </w:tblGrid>
      <w:tr w:rsidR="00D61347" w:rsidRPr="00454FF1" w14:paraId="6EFA55D6" w14:textId="77777777" w:rsidTr="002367AE">
        <w:trPr>
          <w:trHeight w:val="397"/>
        </w:trPr>
        <w:tc>
          <w:tcPr>
            <w:tcW w:w="2098" w:type="dxa"/>
            <w:shd w:val="clear" w:color="auto" w:fill="F2F2F2" w:themeFill="background1" w:themeFillShade="F2"/>
            <w:vAlign w:val="center"/>
          </w:tcPr>
          <w:p w14:paraId="08F6E2FF" w14:textId="77777777" w:rsidR="00D61347" w:rsidRPr="00454FF1" w:rsidRDefault="00D61347" w:rsidP="00F825B0">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41" w:type="dxa"/>
            <w:vAlign w:val="center"/>
          </w:tcPr>
          <w:p w14:paraId="79EC07F6" w14:textId="3645F97D" w:rsidR="00D61347" w:rsidRPr="00454FF1" w:rsidRDefault="00DC6F8C" w:rsidP="00F825B0">
            <w:pPr>
              <w:rPr>
                <w:rFonts w:cstheme="minorHAnsi"/>
                <w:b/>
              </w:rPr>
            </w:pPr>
            <w:r>
              <w:rPr>
                <w:rStyle w:val="Strong"/>
                <w:rFonts w:cstheme="minorHAnsi"/>
                <w:color w:val="000000"/>
                <w:bdr w:val="none" w:sz="0" w:space="0" w:color="auto" w:frame="1"/>
              </w:rPr>
              <w:t>Urban Indigenous Health Scoping Review</w:t>
            </w:r>
          </w:p>
        </w:tc>
      </w:tr>
      <w:tr w:rsidR="00FA2569" w:rsidRPr="00454FF1" w14:paraId="7AB9A2EE" w14:textId="77777777" w:rsidTr="002367AE">
        <w:tc>
          <w:tcPr>
            <w:tcW w:w="2098" w:type="dxa"/>
            <w:shd w:val="clear" w:color="auto" w:fill="F2F2F2" w:themeFill="background1" w:themeFillShade="F2"/>
          </w:tcPr>
          <w:p w14:paraId="14BBF20C" w14:textId="4FDB00B2" w:rsidR="00FA2569" w:rsidRPr="00454FF1" w:rsidRDefault="009D5C8E" w:rsidP="005C5DE4">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541" w:type="dxa"/>
          </w:tcPr>
          <w:p w14:paraId="6FE4165E" w14:textId="730A18B3" w:rsidR="00B60124" w:rsidRDefault="00053716" w:rsidP="005C5DE4">
            <w:pPr>
              <w:rPr>
                <w:rFonts w:cstheme="minorHAnsi"/>
              </w:rPr>
            </w:pPr>
            <w:r>
              <w:rPr>
                <w:rFonts w:cstheme="minorHAnsi"/>
              </w:rPr>
              <w:t>Project duration is 4 weeks.</w:t>
            </w:r>
          </w:p>
          <w:p w14:paraId="09418137" w14:textId="65628994" w:rsidR="00511802" w:rsidRDefault="008610AE" w:rsidP="005C5DE4">
            <w:pPr>
              <w:rPr>
                <w:rFonts w:cstheme="minorHAnsi"/>
              </w:rPr>
            </w:pPr>
            <w:r>
              <w:rPr>
                <w:rFonts w:cstheme="minorHAnsi"/>
              </w:rPr>
              <w:t>A</w:t>
            </w:r>
            <w:r w:rsidR="00053716">
              <w:rPr>
                <w:rFonts w:cstheme="minorHAnsi"/>
              </w:rPr>
              <w:t>pproximate</w:t>
            </w:r>
            <w:r>
              <w:rPr>
                <w:rFonts w:cstheme="minorHAnsi"/>
              </w:rPr>
              <w:t>ly 36</w:t>
            </w:r>
            <w:r w:rsidR="00053716">
              <w:rPr>
                <w:rFonts w:cstheme="minorHAnsi"/>
              </w:rPr>
              <w:t xml:space="preserve"> hours per week </w:t>
            </w:r>
            <w:r>
              <w:rPr>
                <w:rFonts w:cstheme="minorHAnsi"/>
              </w:rPr>
              <w:t xml:space="preserve">will be </w:t>
            </w:r>
            <w:r w:rsidR="00053716">
              <w:rPr>
                <w:rFonts w:cstheme="minorHAnsi"/>
              </w:rPr>
              <w:t>expected.</w:t>
            </w:r>
          </w:p>
          <w:p w14:paraId="4A174B89" w14:textId="72DB099E" w:rsidR="00FA2569" w:rsidRPr="00053716" w:rsidRDefault="0064143B" w:rsidP="00511802">
            <w:pPr>
              <w:rPr>
                <w:rFonts w:cstheme="minorHAnsi"/>
              </w:rPr>
            </w:pPr>
            <w:r>
              <w:rPr>
                <w:rFonts w:cstheme="minorHAnsi"/>
              </w:rPr>
              <w:t>O</w:t>
            </w:r>
            <w:r w:rsidR="00053716">
              <w:rPr>
                <w:rFonts w:cstheme="minorHAnsi"/>
              </w:rPr>
              <w:t>n-site (Toowong) attendance is required</w:t>
            </w:r>
            <w:r>
              <w:rPr>
                <w:rFonts w:cstheme="minorHAnsi"/>
              </w:rPr>
              <w:t>, some remote working may be considered</w:t>
            </w:r>
            <w:r w:rsidR="00053716">
              <w:rPr>
                <w:rFonts w:cstheme="minorHAnsi"/>
              </w:rPr>
              <w:t>.</w:t>
            </w:r>
          </w:p>
        </w:tc>
      </w:tr>
      <w:tr w:rsidR="00FA2569" w:rsidRPr="00454FF1" w14:paraId="29A293A4" w14:textId="77777777" w:rsidTr="002367AE">
        <w:tc>
          <w:tcPr>
            <w:tcW w:w="2098" w:type="dxa"/>
            <w:shd w:val="clear" w:color="auto" w:fill="F2F2F2" w:themeFill="background1" w:themeFillShade="F2"/>
          </w:tcPr>
          <w:p w14:paraId="3EAC6E56" w14:textId="77777777" w:rsidR="00FA2569" w:rsidRPr="00454FF1" w:rsidRDefault="00FA2569" w:rsidP="005C5DE4">
            <w:pPr>
              <w:rPr>
                <w:rFonts w:cstheme="minorHAnsi"/>
                <w:b/>
              </w:rPr>
            </w:pPr>
            <w:r w:rsidRPr="00454FF1">
              <w:rPr>
                <w:rFonts w:cstheme="minorHAnsi"/>
                <w:b/>
                <w:color w:val="000000"/>
              </w:rPr>
              <w:t>Description:</w:t>
            </w:r>
          </w:p>
        </w:tc>
        <w:tc>
          <w:tcPr>
            <w:tcW w:w="7541" w:type="dxa"/>
          </w:tcPr>
          <w:p w14:paraId="442EC621" w14:textId="780A722F" w:rsidR="00CB3D7D" w:rsidRPr="002367AE" w:rsidRDefault="00CB3D7D" w:rsidP="002367AE">
            <w:pPr>
              <w:spacing w:after="120"/>
              <w:rPr>
                <w:rFonts w:cstheme="minorHAnsi"/>
              </w:rPr>
            </w:pPr>
            <w:bookmarkStart w:id="0" w:name="_Hlk126660908"/>
            <w:bookmarkStart w:id="1" w:name="_Hlk127464584"/>
            <w:r>
              <w:rPr>
                <w:rFonts w:cstheme="minorHAnsi"/>
              </w:rPr>
              <w:t xml:space="preserve">The University of Queensland Poche Centre for Indigenous Health is an </w:t>
            </w:r>
            <w:r w:rsidRPr="002367AE">
              <w:rPr>
                <w:rFonts w:cstheme="minorHAnsi"/>
              </w:rPr>
              <w:t>Indigenous-led health research centre working collaboratively to transform urban Aboriginal and Torres Strait Islander peoples’ experiences of injustice and inequity in health and wellbeing. The UQ Poche Centre also works in regional and remote settings across Australia, and with other Indigenous peoples internationally.</w:t>
            </w:r>
          </w:p>
          <w:p w14:paraId="1CBE3B9D" w14:textId="2D567D5D" w:rsidR="00CB3D7D" w:rsidRDefault="00CB3D7D" w:rsidP="002367AE">
            <w:pPr>
              <w:spacing w:after="120"/>
              <w:rPr>
                <w:rFonts w:cstheme="minorHAnsi"/>
              </w:rPr>
            </w:pPr>
            <w:r w:rsidRPr="005B0EE9">
              <w:rPr>
                <w:rFonts w:cstheme="minorHAnsi"/>
              </w:rPr>
              <w:t xml:space="preserve">Research that aims to address the health needs of Aboriginal and Torres Strait Islander peoples living in urban areas in Australia is disproportionate to the population with 2-3 times fewer publications focused on urban health. This is despite 61% of Aboriginal and Torres Strait Islander people living in major cities and outer metropolitan areas, and because just over half of this population contributes to the gap in health equity. Urban Indigenous health research is an emerging field in Australia, and consequently lags other Indigenous populations in New Zealand, Canada, and the United States of America. </w:t>
            </w:r>
            <w:r>
              <w:rPr>
                <w:rFonts w:cstheme="minorHAnsi"/>
              </w:rPr>
              <w:t>The issue of rapid urbanisation has implications for Indigenous populations living in major cities globally and the services that aim to serve them.</w:t>
            </w:r>
          </w:p>
          <w:p w14:paraId="4F5DB5D2" w14:textId="235CFC02" w:rsidR="00CB3D7D" w:rsidRDefault="009F3D74" w:rsidP="002367AE">
            <w:pPr>
              <w:spacing w:after="120"/>
              <w:rPr>
                <w:rFonts w:cstheme="minorHAnsi"/>
              </w:rPr>
            </w:pPr>
            <w:r>
              <w:rPr>
                <w:rFonts w:cstheme="minorHAnsi"/>
              </w:rPr>
              <w:t>We are seeking to engage a scholar to undertake a scoping review of literature relevant to the health of Indigenous peoples living in the urban areas of Australia, New Zealand, Canada and the United States of America.</w:t>
            </w:r>
          </w:p>
          <w:p w14:paraId="5ADE9FBA" w14:textId="50CE1B33" w:rsidR="00FA2569" w:rsidRPr="002367AE" w:rsidRDefault="009F3D74" w:rsidP="002367AE">
            <w:pPr>
              <w:spacing w:after="120"/>
              <w:rPr>
                <w:rFonts w:cstheme="minorHAnsi"/>
              </w:rPr>
            </w:pPr>
            <w:r>
              <w:rPr>
                <w:rFonts w:cstheme="minorHAnsi"/>
              </w:rPr>
              <w:t xml:space="preserve">An overview of this existing knowledge will </w:t>
            </w:r>
            <w:r w:rsidR="00AF0A6C">
              <w:rPr>
                <w:rFonts w:cstheme="minorHAnsi"/>
              </w:rPr>
              <w:t xml:space="preserve">assist in the identification of current research gaps and future research priorities and inform the development of a new urban Indigenous research agenda in Australia. It will also enable </w:t>
            </w:r>
            <w:r>
              <w:rPr>
                <w:rFonts w:cstheme="minorHAnsi"/>
              </w:rPr>
              <w:t>new imaginations of methods to better understand and respond to the health needs of urban Aboriginal and Torres Strait Islander peoples, families, and communities</w:t>
            </w:r>
            <w:r w:rsidR="00AF0A6C">
              <w:rPr>
                <w:rFonts w:cstheme="minorHAnsi"/>
              </w:rPr>
              <w:t xml:space="preserve">.  </w:t>
            </w:r>
            <w:bookmarkEnd w:id="0"/>
            <w:bookmarkEnd w:id="1"/>
          </w:p>
        </w:tc>
      </w:tr>
      <w:tr w:rsidR="00FA2569" w:rsidRPr="00454FF1" w14:paraId="1B742E62" w14:textId="77777777" w:rsidTr="002367AE">
        <w:trPr>
          <w:trHeight w:val="850"/>
        </w:trPr>
        <w:tc>
          <w:tcPr>
            <w:tcW w:w="2098" w:type="dxa"/>
            <w:shd w:val="clear" w:color="auto" w:fill="F2F2F2" w:themeFill="background1" w:themeFillShade="F2"/>
          </w:tcPr>
          <w:p w14:paraId="5D06B1B9" w14:textId="77777777" w:rsidR="00FA2569" w:rsidRPr="00454FF1" w:rsidRDefault="004175CE">
            <w:pPr>
              <w:rPr>
                <w:rFonts w:cstheme="minorHAnsi"/>
                <w:b/>
              </w:rPr>
            </w:pPr>
            <w:r>
              <w:rPr>
                <w:rFonts w:cstheme="minorHAnsi"/>
                <w:b/>
              </w:rPr>
              <w:t>Expected outcomes and deliverables:</w:t>
            </w:r>
          </w:p>
        </w:tc>
        <w:tc>
          <w:tcPr>
            <w:tcW w:w="7541" w:type="dxa"/>
          </w:tcPr>
          <w:p w14:paraId="20594336" w14:textId="3683B405" w:rsidR="00FA2569" w:rsidRPr="00454FF1" w:rsidRDefault="00FA2569" w:rsidP="005F4E1A">
            <w:pPr>
              <w:rPr>
                <w:rFonts w:cstheme="minorHAnsi"/>
                <w:i/>
              </w:rPr>
            </w:pPr>
            <w:r w:rsidRPr="00941E04">
              <w:rPr>
                <w:rFonts w:cstheme="minorHAnsi"/>
                <w:color w:val="000000"/>
              </w:rPr>
              <w:t>P</w:t>
            </w:r>
            <w:r w:rsidR="005F4E1A">
              <w:rPr>
                <w:rFonts w:cstheme="minorHAnsi"/>
                <w:color w:val="000000"/>
              </w:rPr>
              <w:t xml:space="preserve">ublishable </w:t>
            </w:r>
            <w:r w:rsidR="00DC6F8C">
              <w:rPr>
                <w:rFonts w:cstheme="minorHAnsi"/>
                <w:color w:val="000000"/>
              </w:rPr>
              <w:t xml:space="preserve">scoping </w:t>
            </w:r>
            <w:r w:rsidR="005F4E1A">
              <w:rPr>
                <w:rFonts w:cstheme="minorHAnsi"/>
                <w:color w:val="000000"/>
              </w:rPr>
              <w:t>review</w:t>
            </w:r>
            <w:r w:rsidR="009D5C8E">
              <w:rPr>
                <w:rFonts w:cstheme="minorHAnsi"/>
                <w:color w:val="000000"/>
              </w:rPr>
              <w:t xml:space="preserve"> </w:t>
            </w:r>
            <w:r w:rsidR="009D5C8E">
              <w:t>of literature</w:t>
            </w:r>
            <w:r w:rsidR="005F4E1A">
              <w:rPr>
                <w:rFonts w:cstheme="minorHAnsi"/>
                <w:color w:val="000000"/>
              </w:rPr>
              <w:t xml:space="preserve"> on </w:t>
            </w:r>
            <w:r w:rsidR="00DC6F8C">
              <w:rPr>
                <w:rFonts w:cstheme="minorHAnsi"/>
                <w:color w:val="000000"/>
              </w:rPr>
              <w:t xml:space="preserve">the </w:t>
            </w:r>
            <w:r w:rsidR="005F4E1A">
              <w:rPr>
                <w:rFonts w:cstheme="minorHAnsi"/>
                <w:color w:val="000000"/>
              </w:rPr>
              <w:t>topic and a presentation</w:t>
            </w:r>
            <w:r w:rsidR="00F825B0">
              <w:rPr>
                <w:rFonts w:cstheme="minorHAnsi"/>
                <w:color w:val="000000"/>
              </w:rPr>
              <w:t xml:space="preserve"> to staff</w:t>
            </w:r>
            <w:r w:rsidR="005F4E1A">
              <w:rPr>
                <w:rFonts w:cstheme="minorHAnsi"/>
                <w:color w:val="000000"/>
              </w:rPr>
              <w:t>.</w:t>
            </w:r>
          </w:p>
        </w:tc>
      </w:tr>
      <w:tr w:rsidR="00FA2569" w:rsidRPr="00454FF1" w14:paraId="65A3D5CA" w14:textId="77777777" w:rsidTr="002367AE">
        <w:trPr>
          <w:trHeight w:val="64"/>
        </w:trPr>
        <w:tc>
          <w:tcPr>
            <w:tcW w:w="2098" w:type="dxa"/>
            <w:shd w:val="clear" w:color="auto" w:fill="F2F2F2" w:themeFill="background1" w:themeFillShade="F2"/>
          </w:tcPr>
          <w:p w14:paraId="53242F2E" w14:textId="77777777" w:rsidR="00FA2569" w:rsidRPr="00454FF1" w:rsidRDefault="00FA2569" w:rsidP="00D61347">
            <w:pPr>
              <w:rPr>
                <w:rFonts w:cstheme="minorHAnsi"/>
                <w:b/>
              </w:rPr>
            </w:pPr>
            <w:r w:rsidRPr="00454FF1">
              <w:rPr>
                <w:rFonts w:cstheme="minorHAnsi"/>
                <w:b/>
              </w:rPr>
              <w:t>Suitable for:</w:t>
            </w:r>
          </w:p>
        </w:tc>
        <w:tc>
          <w:tcPr>
            <w:tcW w:w="7541" w:type="dxa"/>
          </w:tcPr>
          <w:p w14:paraId="7BE1A7D3" w14:textId="6AAD58F0" w:rsidR="00C11677" w:rsidRPr="00C11677" w:rsidRDefault="00F825B0" w:rsidP="006A1E67">
            <w:pPr>
              <w:rPr>
                <w:rFonts w:cstheme="minorHAnsi"/>
                <w:iCs/>
                <w:color w:val="000000"/>
              </w:rPr>
            </w:pPr>
            <w:r>
              <w:rPr>
                <w:rFonts w:cstheme="minorHAnsi"/>
                <w:iCs/>
                <w:color w:val="000000"/>
              </w:rPr>
              <w:t xml:space="preserve">The project can be adapted for </w:t>
            </w:r>
            <w:r w:rsidR="006A1E67">
              <w:rPr>
                <w:rFonts w:cstheme="minorHAnsi"/>
                <w:iCs/>
                <w:color w:val="000000"/>
              </w:rPr>
              <w:t xml:space="preserve">the </w:t>
            </w:r>
            <w:r>
              <w:rPr>
                <w:rFonts w:cstheme="minorHAnsi"/>
                <w:iCs/>
                <w:color w:val="000000"/>
              </w:rPr>
              <w:t>student</w:t>
            </w:r>
            <w:r w:rsidR="009C3355">
              <w:rPr>
                <w:rFonts w:cstheme="minorHAnsi"/>
                <w:iCs/>
                <w:color w:val="000000"/>
              </w:rPr>
              <w:t>’</w:t>
            </w:r>
            <w:r w:rsidR="009C3355">
              <w:rPr>
                <w:iCs/>
              </w:rPr>
              <w:t>s</w:t>
            </w:r>
            <w:r>
              <w:rPr>
                <w:rFonts w:cstheme="minorHAnsi"/>
                <w:iCs/>
                <w:color w:val="000000"/>
              </w:rPr>
              <w:t xml:space="preserve"> level of program.  A</w:t>
            </w:r>
            <w:r w:rsidR="00C11677" w:rsidRPr="00C11677">
              <w:rPr>
                <w:rFonts w:cstheme="minorHAnsi"/>
                <w:iCs/>
                <w:color w:val="000000"/>
              </w:rPr>
              <w:t xml:space="preserve"> background in </w:t>
            </w:r>
            <w:r w:rsidR="00DC6F8C">
              <w:rPr>
                <w:rFonts w:cstheme="minorHAnsi"/>
                <w:iCs/>
                <w:color w:val="000000"/>
              </w:rPr>
              <w:t xml:space="preserve">Indigenous </w:t>
            </w:r>
            <w:r w:rsidR="00C11677">
              <w:rPr>
                <w:rFonts w:cstheme="minorHAnsi"/>
                <w:iCs/>
                <w:color w:val="000000"/>
              </w:rPr>
              <w:t xml:space="preserve">health </w:t>
            </w:r>
            <w:r w:rsidR="004C115A">
              <w:rPr>
                <w:rFonts w:cstheme="minorHAnsi"/>
                <w:iCs/>
                <w:color w:val="000000"/>
              </w:rPr>
              <w:t>(+ research)</w:t>
            </w:r>
            <w:r w:rsidR="00DC6F8C">
              <w:rPr>
                <w:rFonts w:cstheme="minorHAnsi"/>
                <w:iCs/>
                <w:color w:val="000000"/>
              </w:rPr>
              <w:t xml:space="preserve"> </w:t>
            </w:r>
            <w:r>
              <w:rPr>
                <w:rFonts w:cstheme="minorHAnsi"/>
                <w:iCs/>
                <w:color w:val="000000"/>
              </w:rPr>
              <w:t>would be highly desirable</w:t>
            </w:r>
            <w:r w:rsidR="00C11677">
              <w:rPr>
                <w:rFonts w:cstheme="minorHAnsi"/>
                <w:iCs/>
                <w:color w:val="000000"/>
              </w:rPr>
              <w:t>.</w:t>
            </w:r>
          </w:p>
          <w:p w14:paraId="36BC01F5" w14:textId="1739EFB1" w:rsidR="00C11677" w:rsidRPr="00454FF1" w:rsidRDefault="00C11677" w:rsidP="009C3355">
            <w:pPr>
              <w:spacing w:before="120"/>
              <w:rPr>
                <w:rFonts w:cstheme="minorHAnsi"/>
                <w:i/>
              </w:rPr>
            </w:pPr>
            <w:r>
              <w:rPr>
                <w:rFonts w:cstheme="minorHAnsi"/>
                <w:color w:val="000000"/>
              </w:rPr>
              <w:t>A</w:t>
            </w:r>
            <w:r w:rsidR="00FA2569" w:rsidRPr="00941E04">
              <w:rPr>
                <w:rFonts w:cstheme="minorHAnsi"/>
                <w:color w:val="000000"/>
              </w:rPr>
              <w:t xml:space="preserve">pplicants </w:t>
            </w:r>
            <w:r>
              <w:rPr>
                <w:rFonts w:cstheme="minorHAnsi"/>
                <w:color w:val="000000"/>
              </w:rPr>
              <w:t xml:space="preserve">with </w:t>
            </w:r>
            <w:r w:rsidR="00DC6F8C">
              <w:rPr>
                <w:rFonts w:cstheme="minorHAnsi"/>
                <w:color w:val="000000"/>
              </w:rPr>
              <w:t xml:space="preserve">literature </w:t>
            </w:r>
            <w:r>
              <w:rPr>
                <w:rFonts w:cstheme="minorHAnsi"/>
                <w:color w:val="000000"/>
              </w:rPr>
              <w:t xml:space="preserve">review skills/experience will </w:t>
            </w:r>
            <w:r w:rsidR="006A1E67">
              <w:rPr>
                <w:rFonts w:cstheme="minorHAnsi"/>
                <w:color w:val="000000"/>
              </w:rPr>
              <w:t xml:space="preserve">also </w:t>
            </w:r>
            <w:r>
              <w:rPr>
                <w:rFonts w:cstheme="minorHAnsi"/>
                <w:color w:val="000000"/>
              </w:rPr>
              <w:t>be highly regarded (</w:t>
            </w:r>
            <w:r w:rsidR="00AF0A6C">
              <w:rPr>
                <w:rFonts w:cstheme="minorHAnsi"/>
                <w:color w:val="000000"/>
              </w:rPr>
              <w:t>e.g.,</w:t>
            </w:r>
            <w:r>
              <w:rPr>
                <w:rFonts w:cstheme="minorHAnsi"/>
                <w:color w:val="000000"/>
              </w:rPr>
              <w:t xml:space="preserve"> refining search terms, searching health/medical databases, retrieving literature, using EndNote bibliographic software, screening records (Titles/Abstracts), data extraction and synthesis etc)</w:t>
            </w:r>
            <w:r w:rsidR="00FA2569" w:rsidRPr="00941E04">
              <w:rPr>
                <w:rFonts w:cstheme="minorHAnsi"/>
                <w:color w:val="000000"/>
              </w:rPr>
              <w:t>.</w:t>
            </w:r>
          </w:p>
        </w:tc>
      </w:tr>
      <w:tr w:rsidR="00FA2569" w:rsidRPr="00454FF1" w14:paraId="115FE102" w14:textId="77777777" w:rsidTr="002367AE">
        <w:tc>
          <w:tcPr>
            <w:tcW w:w="2098" w:type="dxa"/>
            <w:shd w:val="clear" w:color="auto" w:fill="F2F2F2" w:themeFill="background1" w:themeFillShade="F2"/>
          </w:tcPr>
          <w:p w14:paraId="0FFFFC91" w14:textId="4E9E0F76" w:rsidR="00C20DAA" w:rsidRPr="00454FF1" w:rsidRDefault="00C20DAA" w:rsidP="00F825B0">
            <w:pPr>
              <w:rPr>
                <w:rFonts w:cstheme="minorHAnsi"/>
                <w:b/>
              </w:rPr>
            </w:pPr>
            <w:r>
              <w:rPr>
                <w:rFonts w:cstheme="minorHAnsi"/>
                <w:b/>
              </w:rPr>
              <w:t xml:space="preserve">Primary </w:t>
            </w:r>
            <w:r w:rsidR="00FA2569" w:rsidRPr="00454FF1">
              <w:rPr>
                <w:rFonts w:cstheme="minorHAnsi"/>
                <w:b/>
              </w:rPr>
              <w:t>Supervisor:</w:t>
            </w:r>
          </w:p>
        </w:tc>
        <w:tc>
          <w:tcPr>
            <w:tcW w:w="7541" w:type="dxa"/>
          </w:tcPr>
          <w:p w14:paraId="272D5699" w14:textId="7889B559" w:rsidR="00FA2569" w:rsidRPr="00454FF1" w:rsidRDefault="004860CC" w:rsidP="00C11677">
            <w:pPr>
              <w:rPr>
                <w:rFonts w:cstheme="minorHAnsi"/>
                <w:i/>
              </w:rPr>
            </w:pPr>
            <w:r>
              <w:rPr>
                <w:rFonts w:cstheme="minorHAnsi"/>
                <w:i/>
              </w:rPr>
              <w:t xml:space="preserve">Prof James Ward </w:t>
            </w:r>
          </w:p>
        </w:tc>
      </w:tr>
      <w:tr w:rsidR="00FA2569" w:rsidRPr="00454FF1" w14:paraId="600E5289" w14:textId="77777777" w:rsidTr="002367AE">
        <w:trPr>
          <w:trHeight w:val="446"/>
        </w:trPr>
        <w:tc>
          <w:tcPr>
            <w:tcW w:w="2098" w:type="dxa"/>
            <w:shd w:val="clear" w:color="auto" w:fill="F2F2F2" w:themeFill="background1" w:themeFillShade="F2"/>
          </w:tcPr>
          <w:p w14:paraId="2647D0C3" w14:textId="77777777" w:rsidR="00FA2569" w:rsidRPr="00454FF1" w:rsidRDefault="00FA2569" w:rsidP="00D61347">
            <w:pPr>
              <w:rPr>
                <w:rFonts w:cstheme="minorHAnsi"/>
                <w:b/>
              </w:rPr>
            </w:pPr>
            <w:r>
              <w:rPr>
                <w:rFonts w:cstheme="minorHAnsi"/>
                <w:b/>
              </w:rPr>
              <w:t>Further info:</w:t>
            </w:r>
          </w:p>
        </w:tc>
        <w:tc>
          <w:tcPr>
            <w:tcW w:w="7541" w:type="dxa"/>
          </w:tcPr>
          <w:p w14:paraId="766D7429" w14:textId="26AA5403" w:rsidR="00941E04" w:rsidRPr="00941E04" w:rsidRDefault="00C11677" w:rsidP="00C11677">
            <w:pPr>
              <w:rPr>
                <w:rFonts w:cstheme="minorHAnsi"/>
              </w:rPr>
            </w:pPr>
            <w:r>
              <w:rPr>
                <w:rFonts w:cstheme="minorHAnsi"/>
              </w:rPr>
              <w:t xml:space="preserve">Please contact </w:t>
            </w:r>
            <w:r w:rsidR="004860CC">
              <w:rPr>
                <w:rFonts w:cstheme="minorHAnsi"/>
              </w:rPr>
              <w:t>james.ward</w:t>
            </w:r>
            <w:r w:rsidR="004860CC" w:rsidRPr="004860CC">
              <w:rPr>
                <w:rFonts w:cstheme="minorHAnsi"/>
              </w:rPr>
              <w:t>@</w:t>
            </w:r>
            <w:r w:rsidR="008F1A26" w:rsidRPr="004860CC">
              <w:rPr>
                <w:rFonts w:cstheme="minorHAnsi"/>
              </w:rPr>
              <w:t>uq.edu.au</w:t>
            </w:r>
            <w:r>
              <w:rPr>
                <w:rFonts w:cstheme="minorHAnsi"/>
              </w:rPr>
              <w:t xml:space="preserve"> with any questions and/or to discuss your suitability.</w:t>
            </w:r>
          </w:p>
        </w:tc>
      </w:tr>
    </w:tbl>
    <w:p w14:paraId="03B92789" w14:textId="77777777" w:rsidR="008610AE" w:rsidRDefault="008610AE"/>
    <w:sectPr w:rsidR="008610AE" w:rsidSect="002367A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84DB" w14:textId="77777777" w:rsidR="00885FB4" w:rsidRDefault="00885FB4" w:rsidP="00053716">
      <w:r>
        <w:separator/>
      </w:r>
    </w:p>
  </w:endnote>
  <w:endnote w:type="continuationSeparator" w:id="0">
    <w:p w14:paraId="58A91166" w14:textId="77777777" w:rsidR="00885FB4" w:rsidRDefault="00885FB4" w:rsidP="0005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0764" w14:textId="77777777" w:rsidR="00885FB4" w:rsidRDefault="00885FB4" w:rsidP="00053716">
      <w:r>
        <w:separator/>
      </w:r>
    </w:p>
  </w:footnote>
  <w:footnote w:type="continuationSeparator" w:id="0">
    <w:p w14:paraId="5FC9BA66" w14:textId="77777777" w:rsidR="00885FB4" w:rsidRDefault="00885FB4" w:rsidP="0005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288"/>
    <w:multiLevelType w:val="hybridMultilevel"/>
    <w:tmpl w:val="D69CACA6"/>
    <w:lvl w:ilvl="0" w:tplc="2618D390">
      <w:start w:val="3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706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258AA"/>
    <w:rsid w:val="00050186"/>
    <w:rsid w:val="00053716"/>
    <w:rsid w:val="000666C6"/>
    <w:rsid w:val="00091157"/>
    <w:rsid w:val="000B3268"/>
    <w:rsid w:val="000C5B7C"/>
    <w:rsid w:val="001C1584"/>
    <w:rsid w:val="002327BC"/>
    <w:rsid w:val="002367AE"/>
    <w:rsid w:val="002B5ABA"/>
    <w:rsid w:val="003570F0"/>
    <w:rsid w:val="003F1078"/>
    <w:rsid w:val="004175CE"/>
    <w:rsid w:val="00454FF1"/>
    <w:rsid w:val="004860CC"/>
    <w:rsid w:val="004C115A"/>
    <w:rsid w:val="004C1625"/>
    <w:rsid w:val="004C4CE9"/>
    <w:rsid w:val="00502FC5"/>
    <w:rsid w:val="00511802"/>
    <w:rsid w:val="005646D9"/>
    <w:rsid w:val="00572429"/>
    <w:rsid w:val="005C5DE4"/>
    <w:rsid w:val="005F4E1A"/>
    <w:rsid w:val="0064143B"/>
    <w:rsid w:val="006559B9"/>
    <w:rsid w:val="006A1E67"/>
    <w:rsid w:val="006C5D74"/>
    <w:rsid w:val="00762F1F"/>
    <w:rsid w:val="007E40FF"/>
    <w:rsid w:val="008610AE"/>
    <w:rsid w:val="00885FB4"/>
    <w:rsid w:val="008F1A26"/>
    <w:rsid w:val="00941E04"/>
    <w:rsid w:val="009C3355"/>
    <w:rsid w:val="009D5C8E"/>
    <w:rsid w:val="009F3D74"/>
    <w:rsid w:val="00A200D9"/>
    <w:rsid w:val="00A54AF7"/>
    <w:rsid w:val="00A55C3A"/>
    <w:rsid w:val="00A85667"/>
    <w:rsid w:val="00AD0FE3"/>
    <w:rsid w:val="00AF0A6C"/>
    <w:rsid w:val="00B35C60"/>
    <w:rsid w:val="00B443BB"/>
    <w:rsid w:val="00B60124"/>
    <w:rsid w:val="00BA289F"/>
    <w:rsid w:val="00C11677"/>
    <w:rsid w:val="00C16A3E"/>
    <w:rsid w:val="00C20DAA"/>
    <w:rsid w:val="00C736FA"/>
    <w:rsid w:val="00CB3D7D"/>
    <w:rsid w:val="00D61347"/>
    <w:rsid w:val="00DC6F8C"/>
    <w:rsid w:val="00ED65B4"/>
    <w:rsid w:val="00EF7111"/>
    <w:rsid w:val="00F825B0"/>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1487"/>
  <w15:docId w15:val="{7BB2D96F-AACB-4EC6-8FC9-CC851C77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CommentReference">
    <w:name w:val="annotation reference"/>
    <w:basedOn w:val="DefaultParagraphFont"/>
    <w:uiPriority w:val="99"/>
    <w:semiHidden/>
    <w:unhideWhenUsed/>
    <w:rsid w:val="00B60124"/>
    <w:rPr>
      <w:sz w:val="16"/>
      <w:szCs w:val="16"/>
    </w:rPr>
  </w:style>
  <w:style w:type="paragraph" w:styleId="CommentText">
    <w:name w:val="annotation text"/>
    <w:basedOn w:val="Normal"/>
    <w:link w:val="CommentTextChar"/>
    <w:uiPriority w:val="99"/>
    <w:semiHidden/>
    <w:unhideWhenUsed/>
    <w:rsid w:val="00B60124"/>
    <w:rPr>
      <w:sz w:val="20"/>
      <w:szCs w:val="20"/>
    </w:rPr>
  </w:style>
  <w:style w:type="character" w:customStyle="1" w:styleId="CommentTextChar">
    <w:name w:val="Comment Text Char"/>
    <w:basedOn w:val="DefaultParagraphFont"/>
    <w:link w:val="CommentText"/>
    <w:uiPriority w:val="99"/>
    <w:semiHidden/>
    <w:rsid w:val="00B60124"/>
    <w:rPr>
      <w:sz w:val="20"/>
      <w:szCs w:val="20"/>
    </w:rPr>
  </w:style>
  <w:style w:type="paragraph" w:styleId="CommentSubject">
    <w:name w:val="annotation subject"/>
    <w:basedOn w:val="CommentText"/>
    <w:next w:val="CommentText"/>
    <w:link w:val="CommentSubjectChar"/>
    <w:uiPriority w:val="99"/>
    <w:semiHidden/>
    <w:unhideWhenUsed/>
    <w:rsid w:val="00B60124"/>
    <w:rPr>
      <w:b/>
      <w:bCs/>
    </w:rPr>
  </w:style>
  <w:style w:type="character" w:customStyle="1" w:styleId="CommentSubjectChar">
    <w:name w:val="Comment Subject Char"/>
    <w:basedOn w:val="CommentTextChar"/>
    <w:link w:val="CommentSubject"/>
    <w:uiPriority w:val="99"/>
    <w:semiHidden/>
    <w:rsid w:val="00B60124"/>
    <w:rPr>
      <w:b/>
      <w:bCs/>
      <w:sz w:val="20"/>
      <w:szCs w:val="20"/>
    </w:rPr>
  </w:style>
  <w:style w:type="paragraph" w:customStyle="1" w:styleId="Default">
    <w:name w:val="Default"/>
    <w:basedOn w:val="Normal"/>
    <w:rsid w:val="008610AE"/>
    <w:pPr>
      <w:autoSpaceDE w:val="0"/>
      <w:autoSpaceDN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11677"/>
    <w:rPr>
      <w:color w:val="605E5C"/>
      <w:shd w:val="clear" w:color="auto" w:fill="E1DFDD"/>
    </w:rPr>
  </w:style>
  <w:style w:type="paragraph" w:styleId="Revision">
    <w:name w:val="Revision"/>
    <w:hidden/>
    <w:uiPriority w:val="99"/>
    <w:semiHidden/>
    <w:rsid w:val="009D5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970787901">
      <w:bodyDiv w:val="1"/>
      <w:marLeft w:val="0"/>
      <w:marRight w:val="0"/>
      <w:marTop w:val="0"/>
      <w:marBottom w:val="0"/>
      <w:divBdr>
        <w:top w:val="none" w:sz="0" w:space="0" w:color="auto"/>
        <w:left w:val="none" w:sz="0" w:space="0" w:color="auto"/>
        <w:bottom w:val="none" w:sz="0" w:space="0" w:color="auto"/>
        <w:right w:val="none" w:sz="0" w:space="0" w:color="auto"/>
      </w:divBdr>
    </w:div>
    <w:div w:id="999383174">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Mitchell</dc:creator>
  <cp:keywords/>
  <dc:description/>
  <cp:lastModifiedBy>Bridget Moore</cp:lastModifiedBy>
  <cp:revision>4</cp:revision>
  <dcterms:created xsi:type="dcterms:W3CDTF">2023-03-06T01:41:00Z</dcterms:created>
  <dcterms:modified xsi:type="dcterms:W3CDTF">2023-03-14T03:19:00Z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2023-02-03T00:14:03Z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8465fcb6-07fb-4e5c-8ed3-2acdcf73626e</vt:lpwstr>
  </property>
  <property fmtid="{D5CDD505-2E9C-101B-9397-08002B2CF9AE}" pid="8" name="MSIP_Label_0f488380-630a-4f55-a077-a19445e3f360_ContentBits">
    <vt:lpwstr>0</vt:lpwstr>
  </property>
</Properties>
</file>